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D" w:rsidRDefault="008B1A1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Lokalne Kryteria Wyboru Operacji</w:t>
      </w:r>
    </w:p>
    <w:tbl>
      <w:tblPr>
        <w:tblStyle w:val="Tabela-Siatka"/>
        <w:tblpPr w:leftFromText="141" w:rightFromText="141" w:vertAnchor="text" w:tblpY="187"/>
        <w:tblW w:w="10173" w:type="dxa"/>
        <w:tblLayout w:type="fixed"/>
        <w:tblLook w:val="04A0"/>
      </w:tblPr>
      <w:tblGrid>
        <w:gridCol w:w="2093"/>
        <w:gridCol w:w="1559"/>
        <w:gridCol w:w="2954"/>
        <w:gridCol w:w="3567"/>
      </w:tblGrid>
      <w:tr w:rsidR="004A731A" w:rsidRPr="00A2278C" w:rsidTr="008F2C41">
        <w:tc>
          <w:tcPr>
            <w:tcW w:w="2093" w:type="dxa"/>
            <w:vAlign w:val="center"/>
          </w:tcPr>
          <w:p w:rsidR="004A731A" w:rsidRPr="00A2278C" w:rsidRDefault="004A731A" w:rsidP="008F2C41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559" w:type="dxa"/>
          </w:tcPr>
          <w:p w:rsidR="004A731A" w:rsidRPr="00A2278C" w:rsidRDefault="004A731A" w:rsidP="008F2C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54" w:type="dxa"/>
            <w:vAlign w:val="center"/>
          </w:tcPr>
          <w:p w:rsidR="004A731A" w:rsidRPr="00A2278C" w:rsidRDefault="004A731A" w:rsidP="008F2C41">
            <w:pPr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567" w:type="dxa"/>
            <w:vAlign w:val="center"/>
          </w:tcPr>
          <w:p w:rsidR="004A731A" w:rsidRPr="00A2278C" w:rsidRDefault="004A731A" w:rsidP="008F2C41">
            <w:pPr>
              <w:ind w:left="113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4A731A" w:rsidRPr="00A2278C" w:rsidTr="008F2C41">
        <w:tc>
          <w:tcPr>
            <w:tcW w:w="2093" w:type="dxa"/>
            <w:vMerge w:val="restart"/>
          </w:tcPr>
          <w:p w:rsidR="004A731A" w:rsidRPr="00625C3C" w:rsidRDefault="004A731A" w:rsidP="008F2C41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PODEJMOWANIE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4A731A" w:rsidRPr="00A2278C" w:rsidRDefault="004A731A" w:rsidP="008F2C41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DZIAŁALNOŚCI GOSPODARCZEJ</w:t>
            </w:r>
          </w:p>
        </w:tc>
        <w:tc>
          <w:tcPr>
            <w:tcW w:w="1559" w:type="dxa"/>
          </w:tcPr>
          <w:p w:rsidR="004A731A" w:rsidRPr="00FC7367" w:rsidRDefault="004A731A" w:rsidP="008F2C41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4A731A" w:rsidRPr="00FC7367" w:rsidRDefault="004A731A" w:rsidP="008F2C41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:rsidR="004A731A" w:rsidRPr="00625C3C" w:rsidRDefault="004A731A" w:rsidP="008F2C41">
            <w:pPr>
              <w:pStyle w:val="Akapitzlist"/>
              <w:ind w:left="6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4A731A" w:rsidRPr="00A749BF" w:rsidRDefault="004A731A" w:rsidP="004A731A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:rsidR="004A731A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FC7367" w:rsidRDefault="004A731A" w:rsidP="008F2C41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4A731A" w:rsidRDefault="004A731A" w:rsidP="008F2C41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A731A" w:rsidRDefault="004A731A" w:rsidP="008F2C41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FC7367">
              <w:rPr>
                <w:b/>
                <w:sz w:val="24"/>
                <w:szCs w:val="24"/>
              </w:rPr>
              <w:t xml:space="preserve">.  </w:t>
            </w:r>
          </w:p>
          <w:p w:rsidR="004A731A" w:rsidRPr="00625C3C" w:rsidRDefault="004A731A" w:rsidP="008F2C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4A731A" w:rsidRPr="00A749BF" w:rsidRDefault="004A731A" w:rsidP="004A731A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spellStart"/>
            <w:r w:rsidRPr="00A749BF">
              <w:rPr>
                <w:rFonts w:ascii="Times New Roman" w:hAnsi="Times New Roman"/>
              </w:rPr>
              <w:t>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 w:rsidRPr="00A749BF">
              <w:rPr>
                <w:rFonts w:ascii="Times New Roman" w:hAnsi="Times New Roman"/>
              </w:rPr>
              <w:t xml:space="preserve"> LSR.</w:t>
            </w:r>
          </w:p>
          <w:p w:rsidR="004A731A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A1315D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</w:t>
            </w:r>
          </w:p>
          <w:p w:rsidR="004A731A" w:rsidRDefault="00A1315D" w:rsidP="008F2C41">
            <w:pPr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A731A">
              <w:rPr>
                <w:b/>
                <w:sz w:val="24"/>
                <w:szCs w:val="24"/>
              </w:rPr>
              <w:t xml:space="preserve"> </w:t>
            </w:r>
            <w:r w:rsidRPr="00A1315D">
              <w:rPr>
                <w:b/>
                <w:sz w:val="20"/>
                <w:szCs w:val="20"/>
              </w:rPr>
              <w:t>przyznanie ewentualnych punktów na podstawie infor</w:t>
            </w:r>
            <w:r w:rsidR="007627C8">
              <w:rPr>
                <w:b/>
                <w:sz w:val="20"/>
                <w:szCs w:val="20"/>
              </w:rPr>
              <w:t>macji zawartych w biznesplanie oraz</w:t>
            </w:r>
            <w:r w:rsidRPr="00A1315D">
              <w:rPr>
                <w:b/>
                <w:sz w:val="20"/>
                <w:szCs w:val="20"/>
              </w:rPr>
              <w:t xml:space="preserve"> załączonej dodatkowej dokumentacj</w:t>
            </w:r>
            <w:r>
              <w:rPr>
                <w:b/>
                <w:sz w:val="20"/>
                <w:szCs w:val="20"/>
              </w:rPr>
              <w:t>i potwierdzającej innowacyjność</w:t>
            </w:r>
            <w:r w:rsidR="007627C8">
              <w:rPr>
                <w:b/>
                <w:sz w:val="20"/>
                <w:szCs w:val="20"/>
              </w:rPr>
              <w:t xml:space="preserve"> operacji</w:t>
            </w:r>
            <w:r>
              <w:rPr>
                <w:b/>
                <w:sz w:val="20"/>
                <w:szCs w:val="20"/>
              </w:rPr>
              <w:t>)</w:t>
            </w:r>
          </w:p>
          <w:p w:rsidR="00A1315D" w:rsidRPr="00625C3C" w:rsidRDefault="00A1315D" w:rsidP="00A1315D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Preferuje się Wnioskodawców których operacja jest innowacyjna:</w:t>
            </w:r>
          </w:p>
          <w:p w:rsidR="004A731A" w:rsidRDefault="004A731A" w:rsidP="008F2C41">
            <w:pPr>
              <w:ind w:left="78"/>
              <w:rPr>
                <w:rFonts w:ascii="Arial" w:eastAsia="Calibri" w:hAnsi="Arial" w:cs="Arial"/>
              </w:rPr>
            </w:pPr>
          </w:p>
          <w:p w:rsidR="004A731A" w:rsidRDefault="00A1315D" w:rsidP="008F2C41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="004A731A" w:rsidRPr="00E74AE8">
              <w:rPr>
                <w:rFonts w:ascii="Arial" w:eastAsia="Calibri" w:hAnsi="Arial" w:cs="Arial"/>
                <w:b/>
              </w:rPr>
              <w:t xml:space="preserve"> pkt.</w:t>
            </w:r>
            <w:r w:rsidR="004A731A">
              <w:rPr>
                <w:rFonts w:ascii="Arial" w:eastAsia="Calibri" w:hAnsi="Arial" w:cs="Arial"/>
              </w:rPr>
              <w:t xml:space="preserve"> – TAK</w:t>
            </w:r>
          </w:p>
          <w:p w:rsidR="004A731A" w:rsidRPr="00216C92" w:rsidRDefault="004A731A" w:rsidP="008F2C41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- ND</w:t>
            </w: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4F3C16" w:rsidRDefault="00443B8D" w:rsidP="008F2C41">
            <w:pPr>
              <w:tabs>
                <w:tab w:val="left" w:pos="1077"/>
              </w:tabs>
              <w:ind w:left="7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4" w:type="dxa"/>
          </w:tcPr>
          <w:p w:rsidR="004A731A" w:rsidRPr="00EA76C6" w:rsidRDefault="004A731A" w:rsidP="008F2C41">
            <w:pPr>
              <w:tabs>
                <w:tab w:val="left" w:pos="1077"/>
              </w:tabs>
              <w:ind w:left="78"/>
              <w:rPr>
                <w:b/>
                <w:sz w:val="24"/>
                <w:szCs w:val="24"/>
              </w:rPr>
            </w:pPr>
            <w:r w:rsidRPr="00EA76C6">
              <w:rPr>
                <w:b/>
                <w:sz w:val="24"/>
                <w:szCs w:val="24"/>
              </w:rPr>
              <w:t xml:space="preserve">Podnoszenie kompetencji – informacje zawarte w biznesplanie </w:t>
            </w:r>
            <w:r w:rsidR="00A1315D">
              <w:rPr>
                <w:b/>
                <w:sz w:val="24"/>
                <w:szCs w:val="24"/>
              </w:rPr>
              <w:t>na podstawie zadeklarowanych wskaźników realizacji</w:t>
            </w:r>
            <w:r w:rsidR="00151B5E">
              <w:rPr>
                <w:b/>
                <w:sz w:val="24"/>
                <w:szCs w:val="24"/>
              </w:rPr>
              <w:t xml:space="preserve"> ujętych w tabeli wniosku o przyznanie pomocy</w:t>
            </w:r>
          </w:p>
        </w:tc>
        <w:tc>
          <w:tcPr>
            <w:tcW w:w="3567" w:type="dxa"/>
          </w:tcPr>
          <w:p w:rsidR="004A731A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kompetencji osób zatrudnionych</w:t>
            </w:r>
            <w:r w:rsidR="00A1315D">
              <w:rPr>
                <w:rFonts w:eastAsia="Times New Roman" w:cs="Arial"/>
                <w:sz w:val="24"/>
                <w:szCs w:val="24"/>
                <w:lang w:eastAsia="pl-PL"/>
              </w:rPr>
              <w:t xml:space="preserve"> na 1 etat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(</w:t>
            </w:r>
            <w:proofErr w:type="spellStart"/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samozatrudniających</w:t>
            </w:r>
            <w:proofErr w:type="spellEnd"/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) zamieszkujących obszar LGD</w:t>
            </w:r>
          </w:p>
          <w:p w:rsidR="004A731A" w:rsidRPr="004F3C16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Pr="004F3C16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kompetencji, w tym nadanie uprawnień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</w:p>
          <w:p w:rsidR="004A731A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  <w:p w:rsidR="004A731A" w:rsidRPr="004F3C16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Pr="00A55AF4" w:rsidRDefault="004A731A" w:rsidP="008F2C41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F3C16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.</w:t>
            </w:r>
          </w:p>
        </w:tc>
      </w:tr>
      <w:tr w:rsidR="004A731A" w:rsidRPr="00A2278C" w:rsidTr="00443B8D">
        <w:trPr>
          <w:trHeight w:val="1878"/>
        </w:trPr>
        <w:tc>
          <w:tcPr>
            <w:tcW w:w="2093" w:type="dxa"/>
            <w:vMerge w:val="restart"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625C3C" w:rsidRDefault="00443B8D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4A731A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 biznesplanie </w:t>
            </w:r>
          </w:p>
          <w:p w:rsidR="004A731A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:rsidR="00F6515E" w:rsidRDefault="00F6515E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:rsidR="00F6515E" w:rsidRPr="00625C3C" w:rsidRDefault="00F6515E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4 pkt. – </w:t>
            </w:r>
            <w:r w:rsidRPr="00625C3C">
              <w:rPr>
                <w:sz w:val="24"/>
                <w:szCs w:val="24"/>
              </w:rPr>
              <w:t>dodatkowo utworzone 1 miejsce pracy</w:t>
            </w:r>
            <w:r w:rsidR="00A1315D">
              <w:rPr>
                <w:sz w:val="24"/>
                <w:szCs w:val="24"/>
              </w:rPr>
              <w:t xml:space="preserve"> na 1 etat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2 pkt. – </w:t>
            </w:r>
            <w:proofErr w:type="spellStart"/>
            <w:r w:rsidR="00151B5E">
              <w:rPr>
                <w:sz w:val="24"/>
                <w:szCs w:val="24"/>
              </w:rPr>
              <w:t>samozatrudnienie</w:t>
            </w:r>
            <w:proofErr w:type="spellEnd"/>
            <w:r w:rsidR="00151B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lub </w:t>
            </w:r>
            <w:r w:rsidR="00151B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utworzenie 1 miejsca pracy</w:t>
            </w:r>
            <w:r w:rsidR="00A1315D">
              <w:rPr>
                <w:sz w:val="24"/>
                <w:szCs w:val="24"/>
              </w:rPr>
              <w:t xml:space="preserve"> na cały etat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625C3C" w:rsidRDefault="00443B8D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4A731A" w:rsidRPr="00F477CE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Ukierunkowanie </w:t>
            </w:r>
            <w:r>
              <w:rPr>
                <w:b/>
                <w:sz w:val="24"/>
                <w:szCs w:val="24"/>
              </w:rPr>
              <w:t xml:space="preserve">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dodatkowe uzasadnienie wnioskodawcy (bezrobotnych, osoby 50+, </w:t>
            </w:r>
            <w:r w:rsidRPr="00F477CE">
              <w:rPr>
                <w:b/>
                <w:sz w:val="24"/>
                <w:szCs w:val="24"/>
              </w:rPr>
              <w:t xml:space="preserve">osoby o niskich kwalifikacjach, które nie uzyskały wykształcenia średniego i młodzież do 29 </w:t>
            </w:r>
            <w:proofErr w:type="spellStart"/>
            <w:r w:rsidRPr="00F477CE">
              <w:rPr>
                <w:b/>
                <w:sz w:val="24"/>
                <w:szCs w:val="24"/>
              </w:rPr>
              <w:t>rż</w:t>
            </w:r>
            <w:proofErr w:type="spellEnd"/>
            <w:r w:rsidRPr="00F477CE">
              <w:rPr>
                <w:b/>
                <w:sz w:val="24"/>
                <w:szCs w:val="24"/>
              </w:rPr>
              <w:t xml:space="preserve">) </w:t>
            </w:r>
          </w:p>
          <w:p w:rsidR="004A731A" w:rsidRPr="00625C3C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ind w:left="11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25C3C">
              <w:rPr>
                <w:b/>
                <w:sz w:val="24"/>
                <w:szCs w:val="24"/>
              </w:rPr>
              <w:t xml:space="preserve">pkt. – </w:t>
            </w:r>
            <w:r w:rsidRPr="00625C3C">
              <w:rPr>
                <w:sz w:val="24"/>
                <w:szCs w:val="24"/>
              </w:rPr>
              <w:t xml:space="preserve">utworzone </w:t>
            </w:r>
            <w:r>
              <w:rPr>
                <w:sz w:val="24"/>
                <w:szCs w:val="24"/>
              </w:rPr>
              <w:t xml:space="preserve">dodatkowe </w:t>
            </w:r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 pracy</w:t>
            </w:r>
            <w:r w:rsidR="00A1315D">
              <w:rPr>
                <w:sz w:val="24"/>
                <w:szCs w:val="24"/>
              </w:rPr>
              <w:t xml:space="preserve"> (1 etat)</w:t>
            </w:r>
            <w:r>
              <w:rPr>
                <w:sz w:val="24"/>
                <w:szCs w:val="24"/>
              </w:rPr>
              <w:t xml:space="preserve">  lub samo zatrudnienie dla osoby z grupy de faworyzowanej</w:t>
            </w:r>
          </w:p>
          <w:p w:rsidR="004A731A" w:rsidRPr="00625C3C" w:rsidRDefault="004A731A" w:rsidP="008F2C41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4A731A" w:rsidRDefault="004A731A" w:rsidP="008F2C41">
            <w:pPr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25C3C">
              <w:rPr>
                <w:b/>
                <w:sz w:val="24"/>
                <w:szCs w:val="24"/>
              </w:rPr>
              <w:t xml:space="preserve"> pkt. </w:t>
            </w:r>
            <w:r>
              <w:rPr>
                <w:b/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samozatrudnienie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lub dodatkowe miejsce pracy </w:t>
            </w:r>
            <w:r w:rsidRPr="00625C3C">
              <w:rPr>
                <w:sz w:val="24"/>
                <w:szCs w:val="24"/>
              </w:rPr>
              <w:t xml:space="preserve">dotyczy osoby </w:t>
            </w:r>
            <w:r>
              <w:rPr>
                <w:sz w:val="24"/>
                <w:szCs w:val="24"/>
              </w:rPr>
              <w:t xml:space="preserve">spoza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4A731A" w:rsidRPr="00625C3C" w:rsidRDefault="004A731A" w:rsidP="008F2C41">
            <w:pPr>
              <w:ind w:left="113"/>
              <w:jc w:val="left"/>
              <w:rPr>
                <w:b/>
                <w:sz w:val="24"/>
                <w:szCs w:val="24"/>
              </w:rPr>
            </w:pP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Default="00443B8D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:rsidR="004A731A" w:rsidRDefault="004A731A" w:rsidP="008F2C41">
            <w:pPr>
              <w:ind w:left="34"/>
              <w:jc w:val="lef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– </w:t>
            </w:r>
          </w:p>
          <w:p w:rsidR="008C7B83" w:rsidRPr="008C7B83" w:rsidRDefault="008C7B83" w:rsidP="008C7B83">
            <w:pPr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 w:rsidRPr="00A1315D">
              <w:rPr>
                <w:b/>
                <w:sz w:val="20"/>
                <w:szCs w:val="20"/>
              </w:rPr>
              <w:t>przyznanie ewentualnych punktów na podstawie informacji zawartych w biznesplanie i załączonej dodatkowej dokumentacj</w:t>
            </w:r>
            <w:r w:rsidR="007627C8">
              <w:rPr>
                <w:b/>
                <w:sz w:val="20"/>
                <w:szCs w:val="20"/>
              </w:rPr>
              <w:t xml:space="preserve">i potwierdzającej </w:t>
            </w:r>
            <w:r w:rsidR="00151B5E">
              <w:rPr>
                <w:b/>
                <w:sz w:val="20"/>
                <w:szCs w:val="20"/>
              </w:rPr>
              <w:t>wpływ ochrony na środowisko)</w:t>
            </w:r>
          </w:p>
          <w:p w:rsidR="004A731A" w:rsidRPr="00625C3C" w:rsidRDefault="004A731A" w:rsidP="008F2C41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:rsidR="004A731A" w:rsidRDefault="004A731A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Default="008C7B83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="004A731A"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 w:rsidR="004A731A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4A731A" w:rsidRPr="0099513D" w:rsidRDefault="004A731A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4A731A" w:rsidRPr="00A2278C" w:rsidTr="008F2C41">
        <w:tc>
          <w:tcPr>
            <w:tcW w:w="3652" w:type="dxa"/>
            <w:gridSpan w:val="2"/>
          </w:tcPr>
          <w:p w:rsidR="004A731A" w:rsidRDefault="004A731A" w:rsidP="008F2C41">
            <w:pPr>
              <w:spacing w:line="276" w:lineRule="auto"/>
              <w:ind w:left="113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6795D">
              <w:rPr>
                <w:rFonts w:ascii="Arial" w:hAnsi="Arial" w:cs="Arial"/>
                <w:b/>
                <w:sz w:val="28"/>
                <w:szCs w:val="28"/>
              </w:rPr>
              <w:t>Max</w:t>
            </w:r>
            <w:proofErr w:type="spellEnd"/>
            <w:r w:rsidRPr="0086795D">
              <w:rPr>
                <w:rFonts w:ascii="Arial" w:hAnsi="Arial" w:cs="Arial"/>
                <w:b/>
                <w:sz w:val="28"/>
                <w:szCs w:val="28"/>
              </w:rPr>
              <w:t>. Liczba punktów</w:t>
            </w:r>
          </w:p>
        </w:tc>
        <w:tc>
          <w:tcPr>
            <w:tcW w:w="6521" w:type="dxa"/>
            <w:gridSpan w:val="2"/>
          </w:tcPr>
          <w:p w:rsidR="004A731A" w:rsidRPr="00D77485" w:rsidRDefault="004A731A" w:rsidP="008F2C41">
            <w:pPr>
              <w:spacing w:line="276" w:lineRule="auto"/>
              <w:ind w:left="113"/>
              <w:jc w:val="right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35 punktów</w:t>
            </w:r>
          </w:p>
        </w:tc>
      </w:tr>
    </w:tbl>
    <w:p w:rsidR="008B1A17" w:rsidRDefault="008B1A17"/>
    <w:p w:rsidR="00667D4D" w:rsidRDefault="00667D4D"/>
    <w:p w:rsidR="00667D4D" w:rsidRDefault="00667D4D" w:rsidP="00667D4D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u w:val="thick" w:color="000000"/>
        </w:rPr>
        <w:t>Minimalne</w:t>
      </w:r>
      <w:proofErr w:type="spellEnd"/>
      <w:r>
        <w:rPr>
          <w:rFonts w:ascii="Arial"/>
          <w:spacing w:val="-7"/>
          <w:u w:val="thick" w:color="000000"/>
        </w:rPr>
        <w:t xml:space="preserve"> </w:t>
      </w:r>
      <w:proofErr w:type="spellStart"/>
      <w:r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  <w:proofErr w:type="spellEnd"/>
    </w:p>
    <w:p w:rsidR="00667D4D" w:rsidRDefault="00667D4D" w:rsidP="00667D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7D4D" w:rsidRDefault="00667D4D" w:rsidP="00667D4D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667D4D" w:rsidRDefault="00667D4D" w:rsidP="00667D4D">
      <w:pPr>
        <w:pStyle w:val="Tekstpodstawowy"/>
        <w:spacing w:before="69"/>
        <w:ind w:left="343" w:right="48" w:firstLine="0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jest 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do</w:t>
      </w:r>
      <w:r>
        <w:rPr>
          <w:spacing w:val="-14"/>
        </w:rPr>
        <w:t xml:space="preserve"> </w:t>
      </w:r>
      <w:proofErr w:type="spellStart"/>
      <w:r>
        <w:t>dofinansowania</w:t>
      </w:r>
      <w:proofErr w:type="spellEnd"/>
      <w:r>
        <w:t>:</w:t>
      </w:r>
    </w:p>
    <w:p w:rsidR="00667D4D" w:rsidRDefault="00667D4D" w:rsidP="00667D4D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667D4D" w:rsidRDefault="00667D4D" w:rsidP="00667D4D">
      <w:pPr>
        <w:pStyle w:val="Tekstpodstawowy"/>
        <w:spacing w:before="74" w:line="274" w:lineRule="exact"/>
      </w:pPr>
      <w:proofErr w:type="spellStart"/>
      <w:r>
        <w:t>Zgodność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ogólnym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szczegółowym</w:t>
      </w:r>
      <w:proofErr w:type="spellEnd"/>
    </w:p>
    <w:p w:rsidR="00667D4D" w:rsidRDefault="00667D4D" w:rsidP="00667D4D">
      <w:pPr>
        <w:pStyle w:val="Tekstpodstawowy"/>
        <w:spacing w:before="16"/>
      </w:pPr>
      <w:proofErr w:type="spellStart"/>
      <w:r>
        <w:t>Uzyskanie</w:t>
      </w:r>
      <w:proofErr w:type="spellEnd"/>
      <w:r>
        <w:t xml:space="preserve"> minimum </w:t>
      </w:r>
      <w:proofErr w:type="spellStart"/>
      <w:r>
        <w:t>punktowego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typu</w:t>
      </w:r>
      <w:proofErr w:type="spellEnd"/>
      <w:r>
        <w:rPr>
          <w:spacing w:val="-15"/>
        </w:rPr>
        <w:t xml:space="preserve"> </w:t>
      </w:r>
      <w:proofErr w:type="spellStart"/>
      <w:r>
        <w:t>operacji</w:t>
      </w:r>
      <w:proofErr w:type="spellEnd"/>
      <w:r>
        <w:t>:</w:t>
      </w:r>
    </w:p>
    <w:p w:rsidR="00667D4D" w:rsidRDefault="00667D4D" w:rsidP="00667D4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667D4D" w:rsidRPr="002517E4" w:rsidRDefault="00667D4D" w:rsidP="00667D4D">
      <w:pPr>
        <w:pStyle w:val="Akapitzlist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Podejmowanie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  <w:r>
        <w:rPr>
          <w:b/>
        </w:rPr>
        <w:t xml:space="preserve"> </w:t>
      </w:r>
      <w:r w:rsidRPr="002517E4">
        <w:rPr>
          <w:rFonts w:ascii="Times New Roman" w:hAnsi="Times New Roman"/>
          <w:color w:val="FF0000"/>
          <w:sz w:val="24"/>
        </w:rPr>
        <w:t>-</w:t>
      </w:r>
      <w:r>
        <w:rPr>
          <w:rFonts w:ascii="Times New Roman" w:hAnsi="Times New Roman"/>
          <w:color w:val="FF0000"/>
          <w:sz w:val="24"/>
        </w:rPr>
        <w:t xml:space="preserve"> 20</w:t>
      </w:r>
      <w:r w:rsidRPr="002517E4">
        <w:rPr>
          <w:rFonts w:ascii="Times New Roman" w:hAnsi="Times New Roman"/>
          <w:color w:val="FF0000"/>
          <w:spacing w:val="-4"/>
          <w:sz w:val="24"/>
        </w:rPr>
        <w:t xml:space="preserve"> </w:t>
      </w:r>
      <w:proofErr w:type="spellStart"/>
      <w:r w:rsidRPr="002517E4">
        <w:rPr>
          <w:rFonts w:ascii="Times New Roman" w:hAnsi="Times New Roman"/>
          <w:color w:val="FF0000"/>
          <w:sz w:val="24"/>
        </w:rPr>
        <w:t>pkt</w:t>
      </w:r>
      <w:proofErr w:type="spellEnd"/>
    </w:p>
    <w:p w:rsidR="00667D4D" w:rsidRDefault="00667D4D" w:rsidP="00667D4D">
      <w:pPr>
        <w:ind w:left="360"/>
        <w:rPr>
          <w:rFonts w:ascii="Times New Roman" w:hAnsi="Times New Roman" w:cs="Times New Roman"/>
          <w:b/>
        </w:rPr>
      </w:pPr>
    </w:p>
    <w:p w:rsidR="00667D4D" w:rsidRPr="006573F1" w:rsidRDefault="00667D4D" w:rsidP="006573F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7D4D">
        <w:rPr>
          <w:rFonts w:ascii="Times New Roman" w:hAnsi="Times New Roman" w:cs="Times New Roman"/>
          <w:b/>
          <w:sz w:val="24"/>
          <w:szCs w:val="24"/>
        </w:rPr>
        <w:t>Tworzenie listy wniosków wybranych do dofinansowania kształtuje się na podstawie liczonej średniej arytmetycznej wszystkich ocen członków Rady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7D4D">
        <w:rPr>
          <w:rFonts w:ascii="Times New Roman" w:hAnsi="Times New Roman" w:cs="Times New Roman"/>
          <w:b/>
          <w:sz w:val="24"/>
          <w:szCs w:val="24"/>
        </w:rPr>
        <w:t xml:space="preserve"> która podzielna jest przez ich ilość.</w:t>
      </w:r>
      <w:r>
        <w:rPr>
          <w:rFonts w:ascii="Times New Roman" w:hAnsi="Times New Roman" w:cs="Times New Roman"/>
          <w:b/>
          <w:sz w:val="24"/>
          <w:szCs w:val="24"/>
        </w:rPr>
        <w:t xml:space="preserve"> Rada ocenia wnioski elektronicznie a system sam zlicza i generuje listy. Przyjęty system oceniania </w:t>
      </w:r>
      <w:r w:rsidR="00151B5E">
        <w:rPr>
          <w:rFonts w:ascii="Times New Roman" w:hAnsi="Times New Roman" w:cs="Times New Roman"/>
          <w:b/>
          <w:sz w:val="24"/>
          <w:szCs w:val="24"/>
        </w:rPr>
        <w:t xml:space="preserve">jest </w:t>
      </w:r>
      <w:r>
        <w:rPr>
          <w:rFonts w:ascii="Times New Roman" w:hAnsi="Times New Roman" w:cs="Times New Roman"/>
          <w:b/>
          <w:sz w:val="24"/>
          <w:szCs w:val="24"/>
        </w:rPr>
        <w:t>zgodny z Procedurami oceny i wyboru operacji w ramach Lokalnej Strategii Rozwoju.</w:t>
      </w:r>
    </w:p>
    <w:sectPr w:rsidR="00667D4D" w:rsidRPr="006573F1" w:rsidSect="00F6515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A17"/>
    <w:rsid w:val="00046B41"/>
    <w:rsid w:val="00151B5E"/>
    <w:rsid w:val="00383EED"/>
    <w:rsid w:val="00443B8D"/>
    <w:rsid w:val="004A2E36"/>
    <w:rsid w:val="004A731A"/>
    <w:rsid w:val="006573F1"/>
    <w:rsid w:val="00667D4D"/>
    <w:rsid w:val="007627C8"/>
    <w:rsid w:val="007E097E"/>
    <w:rsid w:val="008B1A17"/>
    <w:rsid w:val="008C7B83"/>
    <w:rsid w:val="00A1315D"/>
    <w:rsid w:val="00A171D2"/>
    <w:rsid w:val="00F6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D"/>
  </w:style>
  <w:style w:type="paragraph" w:styleId="Nagwek3">
    <w:name w:val="heading 3"/>
    <w:basedOn w:val="Normalny"/>
    <w:link w:val="Nagwek3Znak"/>
    <w:uiPriority w:val="1"/>
    <w:qFormat/>
    <w:rsid w:val="00667D4D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A17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8B1A17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667D4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67D4D"/>
    <w:pPr>
      <w:widowControl w:val="0"/>
      <w:spacing w:after="0" w:line="240" w:lineRule="auto"/>
      <w:ind w:left="76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D4D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Monika</cp:lastModifiedBy>
  <cp:revision>8</cp:revision>
  <cp:lastPrinted>2018-03-02T08:39:00Z</cp:lastPrinted>
  <dcterms:created xsi:type="dcterms:W3CDTF">2017-02-16T07:50:00Z</dcterms:created>
  <dcterms:modified xsi:type="dcterms:W3CDTF">2018-03-02T11:11:00Z</dcterms:modified>
</cp:coreProperties>
</file>